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right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2. melléklet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 xml:space="preserve">A BIZOTTSÁGOK FELADAT- </w:t>
      </w:r>
      <w:proofErr w:type="gramStart"/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ÉS</w:t>
      </w:r>
      <w:proofErr w:type="gramEnd"/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 xml:space="preserve"> HATÁSKÖRE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A Bizottságok általános feladat- és hatásköre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 Bizottságok meghatározzák a munkatervüket.</w:t>
      </w: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Folyamatosan feldolgozzák a működési körükbe tartozó jogszabályokat, önkormányzati rendeleteket, határozatokat, meghatározzák ebből fakadó feladataikat, döntenek az önkormányzati rendeletben átruházott hatáskörökben. </w:t>
      </w: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Feladatkörüket érintő kérdésekben kezdeményezik önkormányzati rendelet megalkotását. </w:t>
      </w: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Részt vesznek a korábbi testületi döntések felülvizsgálatában, indítványozhatják azok módosítását, hatályon kívül helyezését.</w:t>
      </w: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Javaslatot tehetnek az önkormányzat munkatervére.</w:t>
      </w:r>
    </w:p>
    <w:p w:rsidR="000F48C0" w:rsidRPr="002D6136" w:rsidRDefault="000F48C0" w:rsidP="000F48C0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Más Bizottsággal együttműködhetnek, együttes ülést tarthatnak.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Szociális, Egészségügyi, Oktatási, Idős- és Vallásügyi Bizottság feladatai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Figyelemmel kíséri a szociális helyzetükből eredően rászorult személyek, családok pénzbeli és természetbeni ellátását, dönt a pénzbeli és természetben nyújtott szociális ellátásokról szóló 10/2004. (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IV.30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>.) önkormányzati rendeletben a szociális ügyekért felelős bizottságra ruházott képviselő-testületi hatáskörökben.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 munkanélküliség megelőzése érdekében segíti a pályaválasztást, ezen a téren a Nemzetiségi Önkormányzattal együttműködik.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Figyelemmel kíséri az egészségügyi alapellátás körén belül az egészségügyi/háziorvosi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,  fogorvosi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>/védőnői és a gyógyszerellátást.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Segíti az egészségügyi szűrővizsgálatok szervezését a településen.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Figyelemmel kíséri az óvodai, az alapfokú iskolai ellátás és alapfokú művészeti oktatási ellátás helyzetét.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Javaslatot tesz az önkormányzati óvoda szolgáltatásai igénybevételével kapcsolatos kérdésekben.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Ellenőrzi és vizsgálja a tanuló ifjúság életkörülményeit, különösen az egészségügyi, oktatási, pályaválasztás feltételeit.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Times New Roman" w:hAnsi="Adobe Garamond Pro" w:cs="Times New Roman"/>
          <w:sz w:val="24"/>
          <w:szCs w:val="24"/>
          <w:lang w:eastAsia="hu-HU"/>
        </w:rPr>
      </w:pPr>
      <w:proofErr w:type="spellStart"/>
      <w:r w:rsidRPr="002D6136">
        <w:rPr>
          <w:rFonts w:ascii="Adobe Garamond Pro" w:eastAsia="Times New Roman" w:hAnsi="Adobe Garamond Pro" w:cs="Times New Roman"/>
          <w:sz w:val="24"/>
          <w:szCs w:val="24"/>
          <w:lang w:eastAsia="hu-HU"/>
        </w:rPr>
        <w:lastRenderedPageBreak/>
        <w:t>Elemzi</w:t>
      </w:r>
      <w:proofErr w:type="spellEnd"/>
      <w:r w:rsidRPr="002D6136">
        <w:rPr>
          <w:rFonts w:ascii="Adobe Garamond Pro" w:eastAsia="Times New Roman" w:hAnsi="Adobe Garamond Pro" w:cs="Times New Roman"/>
          <w:sz w:val="24"/>
          <w:szCs w:val="24"/>
          <w:lang w:eastAsia="hu-HU"/>
        </w:rPr>
        <w:t xml:space="preserve"> a város egészségügyi és szociális ellátottságát, javaslatot dolgoz ki a színvonal növelésére.</w:t>
      </w:r>
    </w:p>
    <w:p w:rsidR="000F48C0" w:rsidRPr="002D6136" w:rsidRDefault="000F48C0" w:rsidP="000F48C0">
      <w:pPr>
        <w:numPr>
          <w:ilvl w:val="0"/>
          <w:numId w:val="2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Times New Roman" w:hAnsi="Adobe Garamond Pro" w:cs="Times New Roman"/>
          <w:sz w:val="24"/>
          <w:szCs w:val="24"/>
          <w:lang w:eastAsia="hu-HU"/>
        </w:rPr>
      </w:pPr>
      <w:r w:rsidRPr="002D6136">
        <w:rPr>
          <w:rFonts w:ascii="Adobe Garamond Pro" w:eastAsia="Times New Roman" w:hAnsi="Adobe Garamond Pro" w:cs="Times New Roman"/>
          <w:sz w:val="24"/>
          <w:szCs w:val="24"/>
          <w:lang w:eastAsia="hu-HU"/>
        </w:rPr>
        <w:t>Közreműködik a hozzá tartozó ágazatok programjainak előkészítésében, véleményezi azokat és ellenőrzi a feladatok végrehajtását.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10.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A Képviselő-testület döntéséhez a bizottság javasolhatja az alábbiakat: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) egészségügyi, szociális intézmény vezetőjére vonatkozó személyi javaslatot,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b) az önkormányzat egészségügyi, szociális intézményének tevékenységéről szóló jelentést.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11.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Foglalkozik minden olyan kérdéssel, amelynek megvizsgálását, véleményezését, a képviselő-testület, vagy a bizottság fontosnak tart, továbbá a bizottság feladatkörébe tartozó szolgáltatást igénybe vevők részéről érkezett bejelentésekkel is.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12.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Igazolja a szociális rászorultságot építő anyag igénylése esetén.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13.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Figyelemmel kíséri a Gondozási Központ és az Egyház programjait.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14.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idősek vagy az Egyház részéről érkező panaszok megoldására javaslatot dolgoz ki.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Pénzügyi, Ügyrendi-és Civilfinanszírozási Bizottság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Ellátja:</w:t>
      </w:r>
    </w:p>
    <w:p w:rsidR="000F48C0" w:rsidRPr="002D6136" w:rsidRDefault="000F48C0" w:rsidP="000F48C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az önkormányzati rendeletben, így különösen a Jászfényszaru Város Önkormányzatának vagyonáról és a vagyongazdálkodás szabályairól szóló 10/2013. (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IV.04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.) önkormányzati rendeletben a pénzügyekért felelős bizottság számára meghatározott feladatokat, </w:t>
      </w:r>
    </w:p>
    <w:p w:rsidR="000F48C0" w:rsidRPr="002D6136" w:rsidRDefault="000F48C0" w:rsidP="000F48C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 törvényben a pénzügyi bizottság számára megállapított feladatokat, átveszi a képviselő lemondó nyilatkozatát, nyilvántartja és ellenőrzi a vagyonnyilatkozatokat, ellenőrzi a köztartozásmentes adózói adatbázisban levő részvételt,</w:t>
      </w:r>
    </w:p>
    <w:p w:rsidR="000F48C0" w:rsidRPr="002D6136" w:rsidRDefault="000F48C0" w:rsidP="000F48C0">
      <w:pPr>
        <w:numPr>
          <w:ilvl w:val="0"/>
          <w:numId w:val="4"/>
        </w:numPr>
        <w:tabs>
          <w:tab w:val="left" w:pos="851"/>
        </w:tabs>
        <w:spacing w:before="120" w:after="120" w:line="360" w:lineRule="auto"/>
        <w:ind w:left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az önkormányzati rendeletben az ügyrendért felelős bizottság számára meghatározott feladatokat.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Közreműködik az önkormányzat vagyonának nyilvántartásba vételében.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Az önkormányzatnál és intézményeinél figyelemmel kíséri a költségvetési bevételek alakulását, különös tekintettel a saját bevételekre, a vagyonváltozás (vagyonnövekedés, csökkenés) alakulását, értékeli az azt előidéző okokat.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lastRenderedPageBreak/>
        <w:t>Vizsgálja a hitelfelvétel indokait és gazdasági megalapozottságát, ellenőrizheti a pénzkezelési szabályzat megtartását, a bizonylati rend és bizonylati fegyelem érvényesítését.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Vizsgálati megállapításait haladéktalanul közli a Képviselő-testülettel. Ha a képviselő- testület a vizsgálati megállapításokkal nem ért egyet, a vizsgálati jegyzőkönyvet az észrevételeivel együtt megküldi az Állami Számvevőszéknek.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Közreműködik az önkormányzat és az önkormányzati hivatal szervezeti és működési szabályzatának kidolgozásában, végrehajtásuk ellenőrzésében. Javaslatot tesz e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dokumentumok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módosítására. 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Véleményezi az átmeneti gazdálkodásra, az éves költségvetésre, annak módosítására vonatkozó rendeletek tervezetét, az időszakos költségvetési beszámolókat, valamint a zárszámadást.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Véleményezi az intézmények költségvetési javaslatairól és végrehajtásukról szóló beszámolókat.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Véleményezi a helyi adók bevezetésére, megváltoztatására és megszüntetésére irányuló javaslatokat. 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A Képviselő-testület ülésére az alábbi előterjesztések a bizottság állásfoglalásával nyújthatók be: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) éves pénzügyi terv,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b) éves pénzügyi terv módosítása,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c) éves pénzügyi terv végrehajtásáról készült zárszámadás,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d) a helyi adók megállapítására, mértékére vonatkozó javaslat.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e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>) az önkormányzat vagy a hivatal szervezeti és működési szabályzata módosítására irányuló javaslat.</w:t>
      </w:r>
    </w:p>
    <w:p w:rsidR="000F48C0" w:rsidRPr="002D6136" w:rsidRDefault="000F48C0" w:rsidP="000F48C0">
      <w:pPr>
        <w:numPr>
          <w:ilvl w:val="0"/>
          <w:numId w:val="3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A Képviselő-testület ülésére a bizottság javaslatot tehet az alábbiakra: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) hitelfelvétel,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b) kötvénykibocsátás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c) az önkormányzat tulajdonát képező vagyon, esetleges privatizációjának előkészítése,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d) más önkormányzatokkal társulás létrehozásának előkészítése,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e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>) önkormányzati tulajdon elidegenítésére javaslat.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lastRenderedPageBreak/>
        <w:t xml:space="preserve">12.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Javaslatot tesz a polgármester jutalmazására, képviselők, bizottsági elnökök, tagjai az alpolgármester tiszteletdíjának megállapítására.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13. Javaslatot tesz a helyi civilszervezetek és közösségek Képviselő-testület általi támogatására.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14.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Javaslatot tesz ingatlan és gazdasági forgalmi adatok alapján meg nem határozható, nagy értékű ingóság vétele vagy elidegenítése esetén értékének szakértői megállapítására.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15.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Figyelemmel kíséri az önkormányzat bizottságainak SZMSZ szerinti működését.</w:t>
      </w:r>
    </w:p>
    <w:p w:rsidR="000F48C0" w:rsidRPr="002D6136" w:rsidRDefault="000F48C0" w:rsidP="000F48C0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Javaslatot tesz a költségvetésben a bizottság feladatainak ellátásra elkülönített pénzösszeg felhasználására.</w:t>
      </w:r>
    </w:p>
    <w:p w:rsidR="000F48C0" w:rsidRPr="002D6136" w:rsidRDefault="000F48C0" w:rsidP="000F48C0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Ellátja az összeférhetetlenségi és a méltatlansági eljárással összefüggő, a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Mötv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>.-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ben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bizottság részére meghatározott feladatokat.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Sport, Kulturális, Ifjúsági-és Közrendi Bizottság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Figyelemmel kíséri a gyermek és ifjúságvédelemmel kapcsolatos kérdéseket, megoldásukra javaslatokat dolgoz ki.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Figyelemmel kíséri a város kulturális életét, a művelődési feladatok végrehajtását. 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Kapcsolatot tart a település civilszervezeteivel, segíti működésüket.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Koordinálja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a fiatalok részére a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szünidei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programokat.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Kapcsolatot tart az ifjúsággal foglalkozó civil szervezetekkel.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Segíti a gyermekvédelmi szakellátásból kikerülő fiatalok társadalmi integrációját.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Segíti és támogatja az ifjúsági, illetve az ifjúsággal foglalkozó civil szervezetek pályázatainak előkészítését, benyújtását, az elnyert pályázatok felhasználását</w:t>
      </w:r>
    </w:p>
    <w:p w:rsidR="000F48C0" w:rsidRPr="002D6136" w:rsidRDefault="000F48C0" w:rsidP="000F48C0">
      <w:pPr>
        <w:numPr>
          <w:ilvl w:val="0"/>
          <w:numId w:val="6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Segíti, figyelemmel kíséri a mindennapos mozgási lehetőséget – az egészséges táplálkozás, a szeszesital, dohányzás és kábítószer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mentes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szabadidőprogramokat, amelyek alapvető feltételei az egészséges életmódnak.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9.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Évente környezetvédelmi szemlét tart a településen, segíti, szervezi a parlagfű mentesítési, lomtalanítási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akciókat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>, a köztisztasági napot.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10.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Javaslatot tesz a testnevelés, a diáksport, a szabadidősport, az utánpótlás nevelés támogatására.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11.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A bizottság is előterjesztheti: </w:t>
      </w:r>
    </w:p>
    <w:p w:rsidR="000F48C0" w:rsidRPr="002D6136" w:rsidRDefault="000F48C0" w:rsidP="000F48C0">
      <w:pPr>
        <w:tabs>
          <w:tab w:val="left" w:pos="851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) a környezetvédelmi önkormányzati rendelet felülvizsgálata,  módosítása,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hatályosulásáról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szóló beszámolás, 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lastRenderedPageBreak/>
        <w:t>b) közterület elnevezése, emlékműállítás.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12. Figyelemmel kíséri a tűzrendészeti feladatok ellátását, település rendjének, közbiztonságának helyzetét.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13.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Figyelemmel kíséri,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koordinálja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és segíti a bűnmegelőzési koncepció megvalósítását, javaslatot tesz a szükséges módosítására.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14. Figyelemmel kíséri a katasztrófa elhárítási tervek, elképzelések kidolgozását, az érdekeltekkel való megismertetését a Humánpolitikai tanácsnok véleményének kikérésével.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15.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Ellátja a Jászfényszaru Város Önkormányzatának vagyonáról és a vagyongazdálkodás szabályairól szóló 10/2013. (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IV.04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>.) önkormányzati rendeletben a mezőgazdaságért felelős bizottság feladat- és hatáskörébe utalt feladatokat.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 xml:space="preserve">A TANÁCSNOK FELADAT- </w:t>
      </w:r>
      <w:proofErr w:type="gramStart"/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ÉS</w:t>
      </w:r>
      <w:proofErr w:type="gramEnd"/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 xml:space="preserve"> HATÁSKÖRE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A tanácsnok általános feladat- és hatásköre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A tanácsnok a felügyeletére bízott ügyekben: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Javaslatot tesz az önkormányzat döntéseinek előkészítésére, részt vesz a döntés előkészítésében, azok végrehajtásában.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2.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Képviselő-testület hatáskörébe tartozó ügyben döntés meghozatalában részt vesz.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3.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Képviselő-testület szervének hatáskörébe tartozó ügyben a szerv vezetője kérésére tanácskozási joggal a döntés meghozatalát elősegíti, tájékoztatást ad.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4.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Kapcsolatot tart más állami szervvel, civil szervezettel, gazdasági társasággal, természetes és jogi személyekkel.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5.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település érdekeinek előmozdítása érdekében kezdeményezi önkormányzati döntés meghozatalát.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Humánpolitikai tanácsnok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település római katolikus közössége körében jelentkező igények felmérése.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2.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önkormányzat és a római katolikus egyházközség által közösen megvalósított beruházások, rendezvények felügyelete.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lastRenderedPageBreak/>
        <w:t xml:space="preserve">3.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önkormányzati képviselet felügyelete az egyházközség rendezvényein, az önkormányzati és egyházi rendezvények párhuzamosságának elkerülése.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4.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párhuzamos egyházi és önkormányzati szolgáltatások működésének felügyelete, az egyház által ellátott önkormányzati feladatok felügyelete.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5.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helyi közbiztonság fokozása, a biztonságos közlekedés érdekében tett önkormányzati intézkedések felügyelete.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6.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Kapcsolattartás a rendőrséggel, a közterület-felügyelet és a rendőrség közös szolgálatának felügyelete.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7.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önkormányzati képviselet felügyelete a helyi és területi közbiztonság fokozásával kapcsolatos rendezvényeken.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8.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 xml:space="preserve">Bűnmegelőzési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koncepció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felülvizsgálata, módosítása,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hatályosulásáról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szóló beszámolás.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9.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közrend, közbiztonság helyzetének értékelése, tűzoltó egyesület tevékenységének értékelése.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10.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Javaslatot tesz a külterületi utak helyzetének áttekintésére – feltárja a karbantartás lehetőségeit.</w:t>
      </w: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</w:p>
    <w:p w:rsidR="000F48C0" w:rsidRPr="002D6136" w:rsidRDefault="000F48C0" w:rsidP="000F48C0">
      <w:pPr>
        <w:tabs>
          <w:tab w:val="left" w:pos="426"/>
        </w:tabs>
        <w:spacing w:before="120" w:after="120" w:line="360" w:lineRule="auto"/>
        <w:jc w:val="center"/>
        <w:rPr>
          <w:rFonts w:ascii="Adobe Garamond Pro" w:eastAsia="Calibri" w:hAnsi="Adobe Garamond Pro" w:cs="Times New Roman"/>
          <w:b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b/>
          <w:sz w:val="24"/>
          <w:szCs w:val="24"/>
        </w:rPr>
        <w:t>Helyi termelésügyi tanácsnok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1. </w:t>
      </w:r>
      <w:r>
        <w:rPr>
          <w:rFonts w:ascii="Adobe Garamond Pro" w:eastAsia="Calibri" w:hAnsi="Adobe Garamond Pro" w:cs="Times New Roman"/>
          <w:sz w:val="24"/>
          <w:szCs w:val="24"/>
        </w:rPr>
        <w:tab/>
      </w:r>
      <w:r w:rsidRPr="002D6136">
        <w:rPr>
          <w:rFonts w:ascii="Adobe Garamond Pro" w:eastAsia="Calibri" w:hAnsi="Adobe Garamond Pro" w:cs="Times New Roman"/>
          <w:sz w:val="24"/>
          <w:szCs w:val="24"/>
        </w:rPr>
        <w:t>A település kisvállalkozásai, egyéni vállalkozói, őstermelői (a továbbiakban: helyi vállalkozó) körében jelentkező igények felmérése.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2.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önkormányzat és a helyi vállalkozók által közösen megvalósított beruházások, rendezvények felügyelete.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3.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Az önkormányzati képviselet felügyelete a helyi termékek népszerűsítése céljára tartott rendezvényeken.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4. 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ab/>
        <w:t>A helyi termékek népszerűsítése, piacra jutása érdekében tett önkormányzati intézkedések felügyelete.</w:t>
      </w:r>
    </w:p>
    <w:p w:rsidR="000F48C0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bookmarkStart w:id="0" w:name="_GoBack"/>
      <w:bookmarkEnd w:id="0"/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center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lastRenderedPageBreak/>
        <w:t>Civilkapcsolati tanácsnok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1.</w:t>
      </w:r>
      <w:r w:rsidRPr="002D6136">
        <w:rPr>
          <w:rFonts w:ascii="Adobe Garamond Pro" w:hAnsi="Adobe Garamond Pro"/>
          <w:sz w:val="24"/>
          <w:szCs w:val="24"/>
        </w:rPr>
        <w:tab/>
        <w:t>Figyelemmel kíséri a civil szerveztek részére nyújtott támogatások kérelmezési rendjét, a megjelölt támogatási célok elérésével nyújtott előnyök helyben gyakorolt hatásáról véleményt alkot.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 xml:space="preserve">2. </w:t>
      </w:r>
      <w:r w:rsidRPr="002D6136">
        <w:rPr>
          <w:rFonts w:ascii="Adobe Garamond Pro" w:hAnsi="Adobe Garamond Pro"/>
          <w:sz w:val="24"/>
          <w:szCs w:val="24"/>
        </w:rPr>
        <w:tab/>
        <w:t>Kapcsolatot tart a helyben működő civil szervezetekkel. Részt vesz azok programjain, a rendezvények lebonyolításához segítséget nyújt.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3.</w:t>
      </w:r>
      <w:r w:rsidRPr="002D6136">
        <w:rPr>
          <w:rFonts w:ascii="Adobe Garamond Pro" w:hAnsi="Adobe Garamond Pro"/>
          <w:sz w:val="24"/>
          <w:szCs w:val="24"/>
        </w:rPr>
        <w:tab/>
        <w:t>Felügyeli az Önkormányzat részéről megítélt és folyósított támogatások felhasználási rendjét, az Önkormányzat által megjelölt támogatási célok értelmezéséhez - szükség esetén - segítséget nyújt.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  <w:r w:rsidRPr="002D6136">
        <w:rPr>
          <w:rFonts w:ascii="Adobe Garamond Pro" w:hAnsi="Adobe Garamond Pro"/>
          <w:sz w:val="24"/>
          <w:szCs w:val="24"/>
        </w:rPr>
        <w:t>4.</w:t>
      </w:r>
      <w:r w:rsidRPr="002D6136">
        <w:rPr>
          <w:rFonts w:ascii="Adobe Garamond Pro" w:hAnsi="Adobe Garamond Pro"/>
          <w:sz w:val="24"/>
          <w:szCs w:val="24"/>
        </w:rPr>
        <w:tab/>
        <w:t>Javaslataival támogatja a költségvetés megalkotásakor a civilfinanszírozási keret helyi igényeknek megfelelő kialakítását.</w:t>
      </w: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</w:p>
    <w:p w:rsidR="000F48C0" w:rsidRPr="002D6136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center"/>
        <w:rPr>
          <w:rFonts w:ascii="Adobe Garamond Pro" w:hAnsi="Adobe Garamond Pro"/>
          <w:b/>
          <w:sz w:val="24"/>
          <w:szCs w:val="24"/>
        </w:rPr>
      </w:pPr>
      <w:r w:rsidRPr="002D6136">
        <w:rPr>
          <w:rFonts w:ascii="Adobe Garamond Pro" w:hAnsi="Adobe Garamond Pro"/>
          <w:b/>
          <w:sz w:val="24"/>
          <w:szCs w:val="24"/>
        </w:rPr>
        <w:t>Koordinációs és Stratégiai tanácsnok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Közreműködik a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város rendezési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tervé</w:t>
      </w:r>
      <w:r>
        <w:rPr>
          <w:rFonts w:ascii="Adobe Garamond Pro" w:eastAsia="Calibri" w:hAnsi="Adobe Garamond Pro" w:cs="Times New Roman"/>
          <w:sz w:val="24"/>
          <w:szCs w:val="24"/>
        </w:rPr>
        <w:t>nek előkészítésében, folyamatos</w:t>
      </w: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karbantartásában,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hatályosulását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figyelemmel kíséri.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Foglalkozik a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település építési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>, közlekedési és vízügyi feladataival.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contextualSpacing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Vizsgálja önként vállalt önkormányzati feladat ellátásának hosszú távú gazdasági megalapozottságát. 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Elképzeléseket dolgoz ki a város zöldterületeinek rekonstrukciójára, védelmére.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Vizsgálja a hulladékgazdálkodási közszolgáltatási szerződés teljesítését.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>Kapcsolatot tart az erdőfelügyelőséggel, a vízügyi szervekkel, környezetvédelmi felügyelőséggel, valamint a településen közszolgáltatást végző szervezetekkel.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Elősegíti és figyelemmel kíséri a környezetvédelemről és hulladékgazdálkodásról szóló törvény és rendeletek </w:t>
      </w:r>
      <w:proofErr w:type="spellStart"/>
      <w:r w:rsidRPr="002D6136">
        <w:rPr>
          <w:rFonts w:ascii="Adobe Garamond Pro" w:eastAsia="Calibri" w:hAnsi="Adobe Garamond Pro" w:cs="Times New Roman"/>
          <w:sz w:val="24"/>
          <w:szCs w:val="24"/>
        </w:rPr>
        <w:t>hatályosulását</w:t>
      </w:r>
      <w:proofErr w:type="spellEnd"/>
      <w:r w:rsidRPr="002D6136">
        <w:rPr>
          <w:rFonts w:ascii="Adobe Garamond Pro" w:eastAsia="Calibri" w:hAnsi="Adobe Garamond Pro" w:cs="Times New Roman"/>
          <w:sz w:val="24"/>
          <w:szCs w:val="24"/>
        </w:rPr>
        <w:t>.</w:t>
      </w:r>
    </w:p>
    <w:p w:rsidR="000F48C0" w:rsidRPr="002D6136" w:rsidRDefault="000F48C0" w:rsidP="000F48C0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dobe Garamond Pro" w:eastAsia="Calibri" w:hAnsi="Adobe Garamond Pro" w:cs="Times New Roman"/>
          <w:sz w:val="24"/>
          <w:szCs w:val="24"/>
        </w:rPr>
      </w:pPr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Figyelemmel kíséri a településfejlesztési </w:t>
      </w:r>
      <w:proofErr w:type="gramStart"/>
      <w:r w:rsidRPr="002D6136">
        <w:rPr>
          <w:rFonts w:ascii="Adobe Garamond Pro" w:eastAsia="Calibri" w:hAnsi="Adobe Garamond Pro" w:cs="Times New Roman"/>
          <w:sz w:val="24"/>
          <w:szCs w:val="24"/>
        </w:rPr>
        <w:t>koncepció</w:t>
      </w:r>
      <w:proofErr w:type="gramEnd"/>
      <w:r w:rsidRPr="002D6136">
        <w:rPr>
          <w:rFonts w:ascii="Adobe Garamond Pro" w:eastAsia="Calibri" w:hAnsi="Adobe Garamond Pro" w:cs="Times New Roman"/>
          <w:sz w:val="24"/>
          <w:szCs w:val="24"/>
        </w:rPr>
        <w:t xml:space="preserve"> és a gazdasági program szerinti működést.</w:t>
      </w:r>
    </w:p>
    <w:p w:rsidR="000F48C0" w:rsidRDefault="000F48C0" w:rsidP="000F48C0">
      <w:p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="Adobe Garamond Pro" w:hAnsi="Adobe Garamond Pro"/>
          <w:sz w:val="24"/>
          <w:szCs w:val="24"/>
        </w:rPr>
      </w:pPr>
    </w:p>
    <w:p w:rsidR="000F48C0" w:rsidRDefault="000F48C0" w:rsidP="000F48C0"/>
    <w:p w:rsidR="00850218" w:rsidRDefault="00850218"/>
    <w:sectPr w:rsidR="0085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615"/>
    <w:multiLevelType w:val="hybridMultilevel"/>
    <w:tmpl w:val="18444B62"/>
    <w:lvl w:ilvl="0" w:tplc="040E000F">
      <w:start w:val="1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72CF"/>
    <w:multiLevelType w:val="hybridMultilevel"/>
    <w:tmpl w:val="3280D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2FC1"/>
    <w:multiLevelType w:val="hybridMultilevel"/>
    <w:tmpl w:val="96C47C42"/>
    <w:lvl w:ilvl="0" w:tplc="2C204DB6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1717C4"/>
    <w:multiLevelType w:val="hybridMultilevel"/>
    <w:tmpl w:val="8A16E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73E7"/>
    <w:multiLevelType w:val="hybridMultilevel"/>
    <w:tmpl w:val="909C4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B2AD6"/>
    <w:multiLevelType w:val="hybridMultilevel"/>
    <w:tmpl w:val="4F9C9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2EA"/>
    <w:multiLevelType w:val="hybridMultilevel"/>
    <w:tmpl w:val="E6A859BE"/>
    <w:lvl w:ilvl="0" w:tplc="2258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0"/>
    <w:rsid w:val="000F48C0"/>
    <w:rsid w:val="0085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776C"/>
  <w15:chartTrackingRefBased/>
  <w15:docId w15:val="{58BD2361-B6A7-4E62-AA6E-2E2652A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10398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2019-02-14T08:01:00Z</dcterms:created>
  <dcterms:modified xsi:type="dcterms:W3CDTF">2019-02-14T08:10:00Z</dcterms:modified>
</cp:coreProperties>
</file>